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D5" w:rsidRPr="000A50D5" w:rsidRDefault="000A50D5" w:rsidP="000A50D5">
      <w:pPr>
        <w:ind w:firstLine="708"/>
        <w:jc w:val="center"/>
        <w:rPr>
          <w:rFonts w:cs="Courier New"/>
          <w:b/>
          <w:sz w:val="18"/>
          <w:szCs w:val="18"/>
          <w:u w:val="single"/>
        </w:rPr>
      </w:pPr>
      <w:r>
        <w:rPr>
          <w:rFonts w:cs="Courier New"/>
          <w:b/>
          <w:sz w:val="18"/>
          <w:szCs w:val="18"/>
          <w:u w:val="single"/>
        </w:rPr>
        <w:t>OFERTA PRESENTADA POR “EULEN, SA”</w:t>
      </w:r>
    </w:p>
    <w:p w:rsidR="000A50D5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a) Conservación y mantenimiento: 2.968.298,86 €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ab/>
      </w:r>
      <w:r w:rsidRPr="003F4A20">
        <w:rPr>
          <w:rFonts w:cs="Courier New"/>
          <w:sz w:val="18"/>
          <w:szCs w:val="18"/>
        </w:rPr>
        <w:tab/>
      </w:r>
      <w:r w:rsidRPr="003F4A20">
        <w:rPr>
          <w:rFonts w:cs="Courier New"/>
          <w:sz w:val="18"/>
          <w:szCs w:val="18"/>
        </w:rPr>
        <w:tab/>
      </w:r>
      <w:r w:rsidRPr="003F4A20">
        <w:rPr>
          <w:rFonts w:cs="Courier New"/>
          <w:sz w:val="18"/>
          <w:szCs w:val="18"/>
        </w:rPr>
        <w:tab/>
        <w:t xml:space="preserve">  IVA: 623.342,76 €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ab/>
      </w:r>
      <w:r w:rsidRPr="003F4A20">
        <w:rPr>
          <w:rFonts w:cs="Courier New"/>
          <w:sz w:val="18"/>
          <w:szCs w:val="18"/>
        </w:rPr>
        <w:tab/>
      </w:r>
      <w:r w:rsidRPr="003F4A20">
        <w:rPr>
          <w:rFonts w:cs="Courier New"/>
          <w:sz w:val="18"/>
          <w:szCs w:val="18"/>
        </w:rPr>
        <w:tab/>
      </w:r>
      <w:r w:rsidRPr="003F4A20">
        <w:rPr>
          <w:rFonts w:cs="Courier New"/>
          <w:sz w:val="18"/>
          <w:szCs w:val="18"/>
        </w:rPr>
        <w:tab/>
        <w:t>Total: 3.591.641,62 €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b) limpieza: 1.272, 128,08 €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ab/>
        <w:t xml:space="preserve">    IVA: 127.212,81 €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ab/>
        <w:t xml:space="preserve">   Total: 1.399.340,89 €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TOTAL PRECIO SIN IVA: 4.240, 426,94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TOTAL PRECIO CON IVA: 4.990.982,51 €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Porcentaje de baja lineal aplicable a todos los precios unitarios para los trabajos por valoración de obra: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Porcentaje ofertado: 40 %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Contratación de personal considerando aspectos sociales: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Número, tipo de jornada y detalle de trabajadores que se compromete a emplear: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Personal de plantilla: 26,50 puestos de trabajo. Jornadas completas.</w:t>
      </w: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3388"/>
        <w:gridCol w:w="2552"/>
        <w:gridCol w:w="2268"/>
      </w:tblGrid>
      <w:tr w:rsidR="000A50D5" w:rsidRPr="003F4A20" w:rsidTr="0070101A">
        <w:tc>
          <w:tcPr>
            <w:tcW w:w="1256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b/>
                <w:sz w:val="18"/>
                <w:szCs w:val="18"/>
              </w:rPr>
            </w:pPr>
            <w:r w:rsidRPr="003F4A20">
              <w:rPr>
                <w:rFonts w:cs="Courier New"/>
                <w:b/>
                <w:sz w:val="18"/>
                <w:szCs w:val="18"/>
              </w:rPr>
              <w:t>Operarios</w:t>
            </w:r>
          </w:p>
        </w:tc>
        <w:tc>
          <w:tcPr>
            <w:tcW w:w="338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b/>
                <w:sz w:val="18"/>
                <w:szCs w:val="18"/>
              </w:rPr>
            </w:pPr>
            <w:r w:rsidRPr="003F4A20">
              <w:rPr>
                <w:rFonts w:cs="Courier New"/>
                <w:b/>
                <w:sz w:val="18"/>
                <w:szCs w:val="18"/>
              </w:rPr>
              <w:t>Categoría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b/>
                <w:sz w:val="18"/>
                <w:szCs w:val="18"/>
              </w:rPr>
            </w:pPr>
            <w:r w:rsidRPr="003F4A20">
              <w:rPr>
                <w:rFonts w:cs="Courier New"/>
                <w:b/>
                <w:sz w:val="18"/>
                <w:szCs w:val="18"/>
              </w:rPr>
              <w:t>Puestos de trabajo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b/>
                <w:sz w:val="18"/>
                <w:szCs w:val="18"/>
              </w:rPr>
            </w:pPr>
            <w:r w:rsidRPr="003F4A20">
              <w:rPr>
                <w:rFonts w:cs="Courier New"/>
                <w:b/>
                <w:sz w:val="18"/>
                <w:szCs w:val="18"/>
              </w:rPr>
              <w:t>Horas anuales</w:t>
            </w:r>
          </w:p>
        </w:tc>
      </w:tr>
      <w:tr w:rsidR="000A50D5" w:rsidRPr="003F4A20" w:rsidTr="0070101A">
        <w:tc>
          <w:tcPr>
            <w:tcW w:w="1256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5</w:t>
            </w:r>
          </w:p>
        </w:tc>
        <w:tc>
          <w:tcPr>
            <w:tcW w:w="338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Oficiales jardinero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5,00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8.500.00</w:t>
            </w:r>
          </w:p>
        </w:tc>
      </w:tr>
      <w:tr w:rsidR="000A50D5" w:rsidRPr="003F4A20" w:rsidTr="0070101A">
        <w:tc>
          <w:tcPr>
            <w:tcW w:w="1256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</w:t>
            </w:r>
          </w:p>
        </w:tc>
        <w:tc>
          <w:tcPr>
            <w:tcW w:w="338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Oficiales jardinero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0,50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850,00</w:t>
            </w:r>
          </w:p>
        </w:tc>
      </w:tr>
      <w:tr w:rsidR="000A50D5" w:rsidRPr="003F4A20" w:rsidTr="0070101A">
        <w:tc>
          <w:tcPr>
            <w:tcW w:w="1256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19</w:t>
            </w:r>
          </w:p>
        </w:tc>
        <w:tc>
          <w:tcPr>
            <w:tcW w:w="338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Peón jardinero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19,00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32.300,00</w:t>
            </w:r>
          </w:p>
        </w:tc>
      </w:tr>
      <w:tr w:rsidR="000A50D5" w:rsidRPr="003F4A20" w:rsidTr="0070101A">
        <w:tc>
          <w:tcPr>
            <w:tcW w:w="1256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4</w:t>
            </w:r>
          </w:p>
        </w:tc>
        <w:tc>
          <w:tcPr>
            <w:tcW w:w="338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Peón jardinero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2,00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3.400,00</w:t>
            </w:r>
          </w:p>
        </w:tc>
      </w:tr>
      <w:tr w:rsidR="000A50D5" w:rsidRPr="003F4A20" w:rsidTr="0070101A">
        <w:tc>
          <w:tcPr>
            <w:tcW w:w="1256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29</w:t>
            </w:r>
          </w:p>
        </w:tc>
        <w:tc>
          <w:tcPr>
            <w:tcW w:w="338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Total Plantilla ofertada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26,50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41.650,00</w:t>
            </w:r>
          </w:p>
        </w:tc>
      </w:tr>
    </w:tbl>
    <w:p w:rsidR="000A50D5" w:rsidRPr="003F4A20" w:rsidRDefault="000A50D5" w:rsidP="000A50D5">
      <w:pPr>
        <w:ind w:firstLine="708"/>
        <w:jc w:val="both"/>
        <w:rPr>
          <w:rFonts w:cs="Courier New"/>
          <w:b/>
          <w:sz w:val="18"/>
          <w:szCs w:val="18"/>
        </w:rPr>
      </w:pPr>
    </w:p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Personal de sustituciones: 15,67 puestos de trabajo. Jornadas completas.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237"/>
        <w:gridCol w:w="2874"/>
        <w:gridCol w:w="2268"/>
      </w:tblGrid>
      <w:tr w:rsidR="000A50D5" w:rsidRPr="003F4A20" w:rsidTr="0070101A">
        <w:tc>
          <w:tcPr>
            <w:tcW w:w="3085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Personal de sustituciones</w:t>
            </w:r>
          </w:p>
        </w:tc>
        <w:tc>
          <w:tcPr>
            <w:tcW w:w="1237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%</w:t>
            </w:r>
          </w:p>
        </w:tc>
        <w:tc>
          <w:tcPr>
            <w:tcW w:w="2874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Horas a sustituir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Puestos de trabajo</w:t>
            </w:r>
          </w:p>
        </w:tc>
      </w:tr>
      <w:tr w:rsidR="000A50D5" w:rsidRPr="003F4A20" w:rsidTr="0070101A">
        <w:tc>
          <w:tcPr>
            <w:tcW w:w="3085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Vacaciones</w:t>
            </w:r>
          </w:p>
        </w:tc>
        <w:tc>
          <w:tcPr>
            <w:tcW w:w="1237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0,083</w:t>
            </w:r>
          </w:p>
        </w:tc>
        <w:tc>
          <w:tcPr>
            <w:tcW w:w="2874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16.773,33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9,87</w:t>
            </w:r>
          </w:p>
        </w:tc>
      </w:tr>
      <w:tr w:rsidR="000A50D5" w:rsidRPr="003F4A20" w:rsidTr="0070101A">
        <w:tc>
          <w:tcPr>
            <w:tcW w:w="3085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Absentismo</w:t>
            </w:r>
          </w:p>
        </w:tc>
        <w:tc>
          <w:tcPr>
            <w:tcW w:w="1237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0,049</w:t>
            </w:r>
          </w:p>
        </w:tc>
        <w:tc>
          <w:tcPr>
            <w:tcW w:w="2874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9.862,72</w:t>
            </w:r>
          </w:p>
        </w:tc>
        <w:tc>
          <w:tcPr>
            <w:tcW w:w="2268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5,80</w:t>
            </w:r>
          </w:p>
        </w:tc>
      </w:tr>
      <w:tr w:rsidR="000A50D5" w:rsidRPr="003F4A20" w:rsidTr="0070101A">
        <w:tc>
          <w:tcPr>
            <w:tcW w:w="9464" w:type="dxa"/>
            <w:gridSpan w:val="4"/>
          </w:tcPr>
          <w:p w:rsidR="000A50D5" w:rsidRPr="003F4A20" w:rsidRDefault="000A50D5" w:rsidP="0070101A">
            <w:pPr>
              <w:tabs>
                <w:tab w:val="left" w:pos="7230"/>
              </w:tabs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 xml:space="preserve">                                            Total personal sustituciones</w:t>
            </w:r>
            <w:r w:rsidRPr="003F4A20">
              <w:rPr>
                <w:rFonts w:cs="Courier New"/>
                <w:sz w:val="18"/>
                <w:szCs w:val="18"/>
              </w:rPr>
              <w:tab/>
              <w:t>15,67</w:t>
            </w:r>
          </w:p>
        </w:tc>
      </w:tr>
    </w:tbl>
    <w:p w:rsidR="000A50D5" w:rsidRPr="003F4A20" w:rsidRDefault="000A50D5" w:rsidP="000A50D5">
      <w:pPr>
        <w:ind w:firstLine="70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numPr>
          <w:ilvl w:val="0"/>
          <w:numId w:val="1"/>
        </w:num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Los puestos de trabajo se calculan en base a las horas establecidas por Convenio (1700h/año)</w:t>
      </w: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Aportación de vehículos y maquinarias con menores emisiones:</w:t>
      </w: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</w:p>
    <w:p w:rsidR="000A50D5" w:rsidRDefault="000A50D5" w:rsidP="000A50D5">
      <w:p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ab/>
        <w:t>Maquinaria para zonas verdes</w:t>
      </w: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2"/>
        <w:gridCol w:w="2882"/>
      </w:tblGrid>
      <w:tr w:rsidR="000A50D5" w:rsidRPr="003F4A20" w:rsidTr="0070101A">
        <w:tc>
          <w:tcPr>
            <w:tcW w:w="288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Tipo de maquina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Número de máquinas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Sistema de propulsión</w:t>
            </w:r>
          </w:p>
        </w:tc>
      </w:tr>
      <w:tr w:rsidR="000A50D5" w:rsidRPr="003F4A20" w:rsidTr="0070101A">
        <w:tc>
          <w:tcPr>
            <w:tcW w:w="2881" w:type="dxa"/>
            <w:vMerge w:val="restart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Maquinaria en general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114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Eléctrica</w:t>
            </w:r>
          </w:p>
        </w:tc>
      </w:tr>
      <w:tr w:rsidR="000A50D5" w:rsidRPr="003F4A20" w:rsidTr="0070101A">
        <w:tc>
          <w:tcPr>
            <w:tcW w:w="2881" w:type="dxa"/>
            <w:vMerge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15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GLP</w:t>
            </w:r>
          </w:p>
        </w:tc>
      </w:tr>
      <w:tr w:rsidR="000A50D5" w:rsidRPr="003F4A20" w:rsidTr="0070101A">
        <w:tc>
          <w:tcPr>
            <w:tcW w:w="288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Sopladores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22</w:t>
            </w:r>
          </w:p>
        </w:tc>
        <w:tc>
          <w:tcPr>
            <w:tcW w:w="288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Eléctrica</w:t>
            </w:r>
          </w:p>
        </w:tc>
      </w:tr>
    </w:tbl>
    <w:p w:rsidR="000A50D5" w:rsidRDefault="000A50D5" w:rsidP="000A50D5">
      <w:pPr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*No se incluyen dentro el apartado “Maquinaria” las sopladoras incluidas en sopladoras.</w:t>
      </w: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Vehículos de la empresa adscritos al servicio: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551"/>
        <w:gridCol w:w="2552"/>
      </w:tblGrid>
      <w:tr w:rsidR="000A50D5" w:rsidRPr="003F4A20" w:rsidTr="0070101A">
        <w:tc>
          <w:tcPr>
            <w:tcW w:w="3794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Tipo de vehículo</w:t>
            </w:r>
          </w:p>
        </w:tc>
        <w:tc>
          <w:tcPr>
            <w:tcW w:w="255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Número de vehículos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Sistema de propulsión</w:t>
            </w:r>
          </w:p>
        </w:tc>
      </w:tr>
      <w:tr w:rsidR="000A50D5" w:rsidRPr="003F4A20" w:rsidTr="0070101A">
        <w:tc>
          <w:tcPr>
            <w:tcW w:w="3794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Furgones y vehículos similares</w:t>
            </w:r>
          </w:p>
        </w:tc>
        <w:tc>
          <w:tcPr>
            <w:tcW w:w="255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25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GLP</w:t>
            </w:r>
          </w:p>
        </w:tc>
      </w:tr>
      <w:tr w:rsidR="000A50D5" w:rsidRPr="003F4A20" w:rsidTr="0070101A">
        <w:tc>
          <w:tcPr>
            <w:tcW w:w="3794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Vehículos para Técnicos y otros</w:t>
            </w:r>
          </w:p>
        </w:tc>
        <w:tc>
          <w:tcPr>
            <w:tcW w:w="255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Híbridos (eléctricos)</w:t>
            </w:r>
          </w:p>
        </w:tc>
      </w:tr>
      <w:tr w:rsidR="000A50D5" w:rsidRPr="003F4A20" w:rsidTr="0070101A">
        <w:tc>
          <w:tcPr>
            <w:tcW w:w="3794" w:type="dxa"/>
            <w:vMerge w:val="restart"/>
            <w:vAlign w:val="center"/>
          </w:tcPr>
          <w:p w:rsidR="000A50D5" w:rsidRPr="003F4A20" w:rsidRDefault="000A50D5" w:rsidP="0070101A">
            <w:pPr>
              <w:jc w:val="center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Vehículos disposición Ayuntamiento</w:t>
            </w:r>
          </w:p>
        </w:tc>
        <w:tc>
          <w:tcPr>
            <w:tcW w:w="255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Híbridos</w:t>
            </w:r>
            <w:r w:rsidRPr="003F4A20">
              <w:rPr>
                <w:rFonts w:cs="Courier New"/>
                <w:sz w:val="18"/>
                <w:szCs w:val="18"/>
              </w:rPr>
              <w:t>( eléctricos)</w:t>
            </w:r>
          </w:p>
        </w:tc>
      </w:tr>
      <w:tr w:rsidR="000A50D5" w:rsidRPr="003F4A20" w:rsidTr="0070101A">
        <w:trPr>
          <w:trHeight w:val="206"/>
        </w:trPr>
        <w:tc>
          <w:tcPr>
            <w:tcW w:w="3794" w:type="dxa"/>
            <w:vMerge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2551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0A50D5" w:rsidRPr="003F4A20" w:rsidRDefault="000A50D5" w:rsidP="0070101A">
            <w:pPr>
              <w:jc w:val="both"/>
              <w:rPr>
                <w:rFonts w:cs="Courier New"/>
                <w:sz w:val="18"/>
                <w:szCs w:val="18"/>
              </w:rPr>
            </w:pPr>
            <w:r w:rsidRPr="003F4A20">
              <w:rPr>
                <w:rFonts w:cs="Courier New"/>
                <w:sz w:val="18"/>
                <w:szCs w:val="18"/>
              </w:rPr>
              <w:t>GLP</w:t>
            </w:r>
          </w:p>
        </w:tc>
      </w:tr>
    </w:tbl>
    <w:p w:rsidR="000A50D5" w:rsidRPr="003F4A20" w:rsidRDefault="000A50D5" w:rsidP="000A50D5">
      <w:pPr>
        <w:ind w:left="92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numPr>
          <w:ilvl w:val="0"/>
          <w:numId w:val="1"/>
        </w:num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Se aporta documentación justificación en el apartado 4.</w:t>
      </w:r>
    </w:p>
    <w:p w:rsidR="000A50D5" w:rsidRPr="003F4A20" w:rsidRDefault="000A50D5" w:rsidP="000A50D5">
      <w:pPr>
        <w:ind w:left="1068"/>
        <w:jc w:val="both"/>
        <w:rPr>
          <w:rFonts w:cs="Courier New"/>
          <w:sz w:val="18"/>
          <w:szCs w:val="18"/>
        </w:rPr>
      </w:pPr>
    </w:p>
    <w:p w:rsidR="000A50D5" w:rsidRPr="003F4A20" w:rsidRDefault="000A50D5" w:rsidP="000A50D5">
      <w:pPr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Nuevas plantaciones de arbolado y arbustos: 50.000,00 €/año (IVA excluido)</w:t>
      </w:r>
    </w:p>
    <w:p w:rsidR="000A50D5" w:rsidRPr="003F4A20" w:rsidRDefault="000A50D5" w:rsidP="000A50D5">
      <w:pPr>
        <w:ind w:firstLine="708"/>
        <w:jc w:val="both"/>
        <w:rPr>
          <w:rFonts w:cs="Courier New"/>
          <w:b/>
          <w:sz w:val="18"/>
          <w:szCs w:val="18"/>
        </w:rPr>
      </w:pPr>
    </w:p>
    <w:p w:rsidR="000A50D5" w:rsidRDefault="000A50D5" w:rsidP="000A50D5">
      <w:pPr>
        <w:ind w:left="1068"/>
        <w:jc w:val="both"/>
        <w:rPr>
          <w:rFonts w:cs="Courier New"/>
          <w:sz w:val="18"/>
          <w:szCs w:val="18"/>
        </w:rPr>
      </w:pPr>
      <w:r w:rsidRPr="003F4A20">
        <w:rPr>
          <w:rFonts w:cs="Courier New"/>
          <w:sz w:val="18"/>
          <w:szCs w:val="18"/>
        </w:rPr>
        <w:t>2. aporta  Estudio Económico (gastos de personal, gastos de amortización, inversión a realizar…).</w:t>
      </w:r>
    </w:p>
    <w:sectPr w:rsidR="000A50D5" w:rsidSect="00692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17020"/>
    <w:multiLevelType w:val="hybridMultilevel"/>
    <w:tmpl w:val="680AD732"/>
    <w:lvl w:ilvl="0" w:tplc="0BD2DAC6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0D5"/>
    <w:rsid w:val="000A50D5"/>
    <w:rsid w:val="0069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D5"/>
    <w:pPr>
      <w:spacing w:after="0" w:line="240" w:lineRule="auto"/>
    </w:pPr>
    <w:rPr>
      <w:rFonts w:ascii="Courier New" w:eastAsia="Times New Roman" w:hAnsi="Courier New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1748</Characters>
  <Application>Microsoft Office Word</Application>
  <DocSecurity>0</DocSecurity>
  <Lines>14</Lines>
  <Paragraphs>4</Paragraphs>
  <ScaleCrop>false</ScaleCrop>
  <Company>AYUNTAMIENTO DE SALAMANCA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caparicio</dc:creator>
  <cp:lastModifiedBy>caparicio</cp:lastModifiedBy>
  <cp:revision>1</cp:revision>
  <dcterms:created xsi:type="dcterms:W3CDTF">2019-02-14T10:29:00Z</dcterms:created>
  <dcterms:modified xsi:type="dcterms:W3CDTF">2019-02-14T10:31:00Z</dcterms:modified>
</cp:coreProperties>
</file>